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4CC49" w14:textId="4B24220D" w:rsidR="00F32BC1" w:rsidRPr="00F32BC1" w:rsidRDefault="00F32BC1" w:rsidP="00F32BC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32BC1">
        <w:rPr>
          <w:rFonts w:ascii="Arial" w:hAnsi="Arial" w:cs="Arial"/>
          <w:b/>
          <w:bCs/>
          <w:sz w:val="28"/>
          <w:szCs w:val="28"/>
        </w:rPr>
        <w:t>Hrozba ekonomických kalamit a jak jim předejít</w:t>
      </w:r>
    </w:p>
    <w:p w14:paraId="1E20B2ED" w14:textId="0B9D860D" w:rsidR="00F32BC1" w:rsidRPr="00F32BC1" w:rsidRDefault="00F32BC1" w:rsidP="00F32BC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Seminář </w:t>
      </w:r>
      <w:proofErr w:type="gramStart"/>
      <w:r>
        <w:rPr>
          <w:rFonts w:ascii="Arial" w:hAnsi="Arial" w:cs="Arial"/>
        </w:rPr>
        <w:t xml:space="preserve">IČL </w:t>
      </w:r>
      <w:r w:rsidR="00DB4CC2">
        <w:rPr>
          <w:rFonts w:ascii="Arial" w:hAnsi="Arial" w:cs="Arial"/>
        </w:rPr>
        <w:t xml:space="preserve"> -</w:t>
      </w:r>
      <w:proofErr w:type="gramEnd"/>
      <w:r w:rsidR="00DB4C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7. </w:t>
      </w:r>
      <w:r w:rsidR="00DB4CC2">
        <w:rPr>
          <w:rFonts w:ascii="Arial" w:hAnsi="Arial" w:cs="Arial"/>
        </w:rPr>
        <w:t>p</w:t>
      </w:r>
      <w:r>
        <w:rPr>
          <w:rFonts w:ascii="Arial" w:hAnsi="Arial" w:cs="Arial"/>
        </w:rPr>
        <w:t>rosince 2023</w:t>
      </w:r>
    </w:p>
    <w:p w14:paraId="1B2A66F1" w14:textId="184169BE" w:rsidR="00F32BC1" w:rsidRPr="00842D38" w:rsidRDefault="00F32BC1" w:rsidP="00F32BC1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  <w:r w:rsidRPr="00842D38">
        <w:rPr>
          <w:rFonts w:ascii="Arial" w:hAnsi="Arial" w:cs="Arial"/>
          <w:b/>
          <w:bCs/>
          <w:i/>
          <w:iCs/>
        </w:rPr>
        <w:t>Co předcházelo tomuto semináři</w:t>
      </w:r>
    </w:p>
    <w:p w14:paraId="1FF7C3A8" w14:textId="77777777" w:rsidR="0086313D" w:rsidRDefault="0086313D" w:rsidP="00863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Někdy v polovině října došlo v této místnosti k volné výměně názorů na možný vývoj současné ekonomické a rozpočtové krize – a </w:t>
      </w:r>
      <w:r w:rsidRPr="00D47996">
        <w:rPr>
          <w:rFonts w:ascii="Arial" w:hAnsi="Arial" w:cs="Arial"/>
          <w:b/>
          <w:bCs/>
        </w:rPr>
        <w:t>jak by se k řešení měla postavit levice</w:t>
      </w:r>
      <w:r>
        <w:rPr>
          <w:rFonts w:ascii="Arial" w:hAnsi="Arial" w:cs="Arial"/>
        </w:rPr>
        <w:t>.</w:t>
      </w:r>
    </w:p>
    <w:p w14:paraId="44AB1415" w14:textId="79D94218" w:rsidR="00F32BC1" w:rsidRDefault="0086313D" w:rsidP="00863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té době jsem měl rozepsaný delší text </w:t>
      </w:r>
      <w:r w:rsidRPr="00DE4C53">
        <w:rPr>
          <w:rFonts w:ascii="Arial" w:hAnsi="Arial" w:cs="Arial"/>
          <w:i/>
          <w:iCs/>
        </w:rPr>
        <w:t>Balíček aneb čtyři důvody k demisi vlády</w:t>
      </w:r>
      <w:r w:rsidRPr="00DE4C53">
        <w:rPr>
          <w:rFonts w:ascii="Arial" w:hAnsi="Arial" w:cs="Arial"/>
        </w:rPr>
        <w:t xml:space="preserve">, kvůli rozsahu </w:t>
      </w:r>
      <w:r w:rsidR="00DE4C53" w:rsidRPr="00DE4C53">
        <w:rPr>
          <w:rFonts w:ascii="Arial" w:hAnsi="Arial" w:cs="Arial"/>
        </w:rPr>
        <w:t xml:space="preserve">nepublikovatelný. </w:t>
      </w:r>
      <w:r w:rsidR="007F39E4">
        <w:rPr>
          <w:rFonts w:ascii="Arial" w:hAnsi="Arial" w:cs="Arial"/>
        </w:rPr>
        <w:t>Proto k</w:t>
      </w:r>
      <w:r w:rsidR="00DE4C53" w:rsidRPr="00DE4C53">
        <w:rPr>
          <w:rFonts w:ascii="Arial" w:hAnsi="Arial" w:cs="Arial"/>
        </w:rPr>
        <w:t xml:space="preserve">ratší verze </w:t>
      </w:r>
      <w:r w:rsidR="00DE4C53" w:rsidRPr="00DE4C53">
        <w:rPr>
          <w:rFonts w:ascii="Arial" w:hAnsi="Arial" w:cs="Arial"/>
          <w:i/>
          <w:iCs/>
        </w:rPr>
        <w:t>Má mít levice vizi?</w:t>
      </w:r>
      <w:r>
        <w:rPr>
          <w:rFonts w:ascii="Arial" w:hAnsi="Arial" w:cs="Arial"/>
        </w:rPr>
        <w:t xml:space="preserve"> </w:t>
      </w:r>
    </w:p>
    <w:p w14:paraId="17CB6735" w14:textId="6CDF14B1" w:rsidR="00DE4C53" w:rsidRDefault="00DE4C53" w:rsidP="0086313D">
      <w:pPr>
        <w:rPr>
          <w:rFonts w:ascii="Arial" w:hAnsi="Arial" w:cs="Arial"/>
        </w:rPr>
      </w:pPr>
      <w:r>
        <w:rPr>
          <w:rFonts w:ascii="Arial" w:hAnsi="Arial" w:cs="Arial"/>
        </w:rPr>
        <w:t>Oba byly dány k dispozici spolu s pozvánkou a nebudu je zde parafrázovat.</w:t>
      </w:r>
      <w:r w:rsidR="00C41103">
        <w:rPr>
          <w:rFonts w:ascii="Arial" w:hAnsi="Arial" w:cs="Arial"/>
        </w:rPr>
        <w:t xml:space="preserve"> V </w:t>
      </w:r>
      <w:r w:rsidR="00D45A58">
        <w:rPr>
          <w:rFonts w:ascii="Arial" w:hAnsi="Arial" w:cs="Arial"/>
        </w:rPr>
        <w:t>diskusi</w:t>
      </w:r>
      <w:r w:rsidR="00C41103">
        <w:rPr>
          <w:rFonts w:ascii="Arial" w:hAnsi="Arial" w:cs="Arial"/>
        </w:rPr>
        <w:t xml:space="preserve"> </w:t>
      </w:r>
      <w:r w:rsidR="00AE5292">
        <w:rPr>
          <w:rFonts w:ascii="Arial" w:hAnsi="Arial" w:cs="Arial"/>
        </w:rPr>
        <w:t>při</w:t>
      </w:r>
      <w:r w:rsidR="00C41103">
        <w:rPr>
          <w:rFonts w:ascii="Arial" w:hAnsi="Arial" w:cs="Arial"/>
        </w:rPr>
        <w:t>vítám kritické připomínky.</w:t>
      </w:r>
    </w:p>
    <w:p w14:paraId="0FE8DD59" w14:textId="1E123412" w:rsidR="004A54BE" w:rsidRPr="004A54BE" w:rsidRDefault="00AA77A4" w:rsidP="00882E18">
      <w:pPr>
        <w:numPr>
          <w:ilvl w:val="0"/>
          <w:numId w:val="1"/>
        </w:numPr>
        <w:rPr>
          <w:rFonts w:ascii="Arial" w:hAnsi="Arial" w:cs="Arial"/>
          <w:i/>
          <w:iCs/>
        </w:rPr>
      </w:pPr>
      <w:r w:rsidRPr="00AA77A4">
        <w:rPr>
          <w:rFonts w:ascii="Arial" w:hAnsi="Arial" w:cs="Arial"/>
          <w:b/>
          <w:bCs/>
          <w:i/>
          <w:iCs/>
        </w:rPr>
        <w:t>Události dostávají spád</w:t>
      </w:r>
    </w:p>
    <w:p w14:paraId="064870C3" w14:textId="3F0A79A1" w:rsidR="00D54EDB" w:rsidRPr="00DA0AB7" w:rsidRDefault="00D54EDB" w:rsidP="004A54BE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Nejsem si jistý, jestli </w:t>
      </w:r>
      <w:r w:rsidR="00882E18">
        <w:rPr>
          <w:rFonts w:ascii="Arial" w:hAnsi="Arial" w:cs="Arial"/>
        </w:rPr>
        <w:t xml:space="preserve">už není </w:t>
      </w:r>
      <w:r w:rsidR="00AE528E">
        <w:rPr>
          <w:rFonts w:ascii="Arial" w:hAnsi="Arial" w:cs="Arial"/>
        </w:rPr>
        <w:t xml:space="preserve">po těch pár týdnech, co jsme se Skálou diskutovali nad </w:t>
      </w:r>
      <w:r w:rsidR="00882E18">
        <w:rPr>
          <w:rFonts w:ascii="Arial" w:hAnsi="Arial" w:cs="Arial"/>
        </w:rPr>
        <w:t>nadpis</w:t>
      </w:r>
      <w:r w:rsidR="00AE528E">
        <w:rPr>
          <w:rFonts w:ascii="Arial" w:hAnsi="Arial" w:cs="Arial"/>
        </w:rPr>
        <w:t>em</w:t>
      </w:r>
      <w:r w:rsidR="00882E18">
        <w:rPr>
          <w:rFonts w:ascii="Arial" w:hAnsi="Arial" w:cs="Arial"/>
        </w:rPr>
        <w:t xml:space="preserve"> dnešního semináře </w:t>
      </w:r>
      <w:r w:rsidR="00882E18" w:rsidRPr="00882E18">
        <w:rPr>
          <w:rFonts w:ascii="Arial" w:hAnsi="Arial" w:cs="Arial"/>
          <w:b/>
          <w:bCs/>
          <w:i/>
          <w:iCs/>
        </w:rPr>
        <w:t>Hrozba ekonomických kalamit</w:t>
      </w:r>
      <w:r w:rsidR="00882E18">
        <w:rPr>
          <w:rFonts w:ascii="Arial" w:hAnsi="Arial" w:cs="Arial"/>
          <w:b/>
          <w:bCs/>
          <w:i/>
          <w:iCs/>
        </w:rPr>
        <w:t xml:space="preserve"> </w:t>
      </w:r>
      <w:r w:rsidR="00882E18">
        <w:rPr>
          <w:rFonts w:ascii="Arial" w:hAnsi="Arial" w:cs="Arial"/>
        </w:rPr>
        <w:t>tak trochu mimo mísu.</w:t>
      </w:r>
      <w:r w:rsidR="00DA0AB7">
        <w:rPr>
          <w:rFonts w:ascii="Arial" w:hAnsi="Arial" w:cs="Arial"/>
        </w:rPr>
        <w:t xml:space="preserve"> Jen v minulém týdnu:</w:t>
      </w:r>
    </w:p>
    <w:p w14:paraId="3451D79E" w14:textId="04644B7F" w:rsidR="00DA0AB7" w:rsidRDefault="00E35915" w:rsidP="00DA0AB7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ČSÚ </w:t>
      </w:r>
      <w:r w:rsidR="00EA4575">
        <w:rPr>
          <w:rFonts w:ascii="Arial" w:hAnsi="Arial" w:cs="Arial"/>
        </w:rPr>
        <w:t>dál zhoršil odhad vývoje HDP</w:t>
      </w:r>
      <w:r w:rsidR="00B1699F">
        <w:rPr>
          <w:rFonts w:ascii="Arial" w:hAnsi="Arial" w:cs="Arial"/>
        </w:rPr>
        <w:t xml:space="preserve"> na rok 2023, protože </w:t>
      </w:r>
      <w:r w:rsidR="00FC07C4">
        <w:rPr>
          <w:rFonts w:ascii="Arial" w:hAnsi="Arial" w:cs="Arial"/>
        </w:rPr>
        <w:t xml:space="preserve">ve 3.Q 23 je HDP proti 3.Q.22 nižší již o </w:t>
      </w:r>
      <w:r w:rsidR="00013F12">
        <w:rPr>
          <w:rFonts w:ascii="Arial" w:hAnsi="Arial" w:cs="Arial"/>
        </w:rPr>
        <w:t>0,7 % - meziročně klesá už v</w:t>
      </w:r>
      <w:r w:rsidR="00D75283">
        <w:rPr>
          <w:rFonts w:ascii="Arial" w:hAnsi="Arial" w:cs="Arial"/>
        </w:rPr>
        <w:t> jednotlivých Q potřetí = recese. Naštěstí pořád mělká</w:t>
      </w:r>
      <w:r w:rsidR="000C2689">
        <w:rPr>
          <w:rFonts w:ascii="Arial" w:hAnsi="Arial" w:cs="Arial"/>
        </w:rPr>
        <w:t>, ale i v evropských poměrech nejdelší (po Ukrajině)</w:t>
      </w:r>
    </w:p>
    <w:p w14:paraId="7E41645B" w14:textId="36188085" w:rsidR="0006731A" w:rsidRDefault="0006731A" w:rsidP="008521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Takže ani letos se nedostaneme na předcovidovou hladinu</w:t>
      </w:r>
      <w:r w:rsidR="0085210F">
        <w:rPr>
          <w:rFonts w:ascii="Arial" w:hAnsi="Arial" w:cs="Arial"/>
        </w:rPr>
        <w:t xml:space="preserve"> (můj odhad – </w:t>
      </w:r>
      <w:r w:rsidR="006F696D">
        <w:rPr>
          <w:rFonts w:ascii="Arial" w:hAnsi="Arial" w:cs="Arial"/>
        </w:rPr>
        <w:t>25</w:t>
      </w:r>
      <w:r w:rsidR="0085210F">
        <w:rPr>
          <w:rFonts w:ascii="Arial" w:hAnsi="Arial" w:cs="Arial"/>
        </w:rPr>
        <w:t xml:space="preserve"> mld. Kč</w:t>
      </w:r>
      <w:r w:rsidR="00606340">
        <w:rPr>
          <w:rFonts w:ascii="Arial" w:hAnsi="Arial" w:cs="Arial"/>
        </w:rPr>
        <w:t xml:space="preserve"> = 0,5 %);</w:t>
      </w:r>
    </w:p>
    <w:p w14:paraId="10C986C4" w14:textId="5AF9DC65" w:rsidR="00606340" w:rsidRDefault="00FE25D2" w:rsidP="0085210F">
      <w:pPr>
        <w:numPr>
          <w:ilvl w:val="0"/>
          <w:numId w:val="2"/>
        </w:numPr>
        <w:rPr>
          <w:rFonts w:ascii="Arial" w:hAnsi="Arial" w:cs="Arial"/>
        </w:rPr>
      </w:pPr>
      <w:r w:rsidRPr="00D8717D">
        <w:rPr>
          <w:rFonts w:ascii="Arial" w:hAnsi="Arial" w:cs="Arial"/>
          <w:b/>
          <w:bCs/>
          <w:i/>
          <w:iCs/>
          <w:u w:val="single"/>
        </w:rPr>
        <w:t>Graf 1</w:t>
      </w:r>
      <w:r>
        <w:rPr>
          <w:rFonts w:ascii="Arial" w:hAnsi="Arial" w:cs="Arial"/>
        </w:rPr>
        <w:t xml:space="preserve"> </w:t>
      </w:r>
      <w:r w:rsidR="0041130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1130C">
        <w:rPr>
          <w:rFonts w:ascii="Arial" w:hAnsi="Arial" w:cs="Arial"/>
        </w:rPr>
        <w:t>vývoj HDP + predikce</w:t>
      </w:r>
    </w:p>
    <w:p w14:paraId="280F735C" w14:textId="0433C3B5" w:rsidR="00C82B00" w:rsidRDefault="00A243B0" w:rsidP="00A243B0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E79985" wp14:editId="00DFD288">
            <wp:extent cx="5459095" cy="4121624"/>
            <wp:effectExtent l="0" t="0" r="8255" b="12700"/>
            <wp:docPr id="171453808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16C99C2B-6F34-430E-9A81-891A70775E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42B5724" w14:textId="77777777" w:rsidR="00884E1C" w:rsidRDefault="00DC0698" w:rsidP="0085210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Při trvající vysoké inflaci </w:t>
      </w:r>
      <w:r w:rsidR="007A5FE1" w:rsidRPr="007A5FE1">
        <w:rPr>
          <w:rFonts w:ascii="Arial" w:hAnsi="Arial" w:cs="Arial"/>
          <w:b/>
          <w:bCs/>
          <w:i/>
          <w:iCs/>
          <w:u w:val="single"/>
        </w:rPr>
        <w:t>Graf 2</w:t>
      </w:r>
      <w:r w:rsidR="007A5FE1">
        <w:rPr>
          <w:rFonts w:ascii="Arial" w:hAnsi="Arial" w:cs="Arial"/>
        </w:rPr>
        <w:t xml:space="preserve"> </w:t>
      </w:r>
    </w:p>
    <w:p w14:paraId="3679E96E" w14:textId="5DD5E271" w:rsidR="00884E1C" w:rsidRDefault="00884E1C" w:rsidP="00884E1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15CF685" wp14:editId="0315607B">
            <wp:extent cx="5486400" cy="2060812"/>
            <wp:effectExtent l="0" t="0" r="0" b="15875"/>
            <wp:docPr id="1782774379" name="Graf 1782774379">
              <a:extLst xmlns:a="http://schemas.openxmlformats.org/drawingml/2006/main">
                <a:ext uri="{FF2B5EF4-FFF2-40B4-BE49-F238E27FC236}">
                  <a16:creationId xmlns:a16="http://schemas.microsoft.com/office/drawing/2014/main" id="{21B46205-DAE1-4940-8FFA-2D2CA3AD07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80B9377" w14:textId="7DFCF927" w:rsidR="0041130C" w:rsidRDefault="007A5FE1" w:rsidP="003D6F55">
      <w:pPr>
        <w:rPr>
          <w:rFonts w:ascii="Arial" w:hAnsi="Arial" w:cs="Arial"/>
        </w:rPr>
      </w:pPr>
      <w:r>
        <w:rPr>
          <w:rFonts w:ascii="Arial" w:hAnsi="Arial" w:cs="Arial"/>
        </w:rPr>
        <w:t>nutně r</w:t>
      </w:r>
      <w:r w:rsidR="000D7EF4">
        <w:rPr>
          <w:rFonts w:ascii="Arial" w:hAnsi="Arial" w:cs="Arial"/>
        </w:rPr>
        <w:t>eálná mzda klesla ve 3.Q 23 poosmé v</w:t>
      </w:r>
      <w:r w:rsidR="00E708C6">
        <w:rPr>
          <w:rFonts w:ascii="Arial" w:hAnsi="Arial" w:cs="Arial"/>
        </w:rPr>
        <w:t> </w:t>
      </w:r>
      <w:r w:rsidR="000D7EF4">
        <w:rPr>
          <w:rFonts w:ascii="Arial" w:hAnsi="Arial" w:cs="Arial"/>
        </w:rPr>
        <w:t>řadě</w:t>
      </w:r>
      <w:r w:rsidR="00E708C6">
        <w:rPr>
          <w:rFonts w:ascii="Arial" w:hAnsi="Arial" w:cs="Arial"/>
        </w:rPr>
        <w:t xml:space="preserve">, a to má minimálně </w:t>
      </w:r>
      <w:r w:rsidR="000F0961">
        <w:rPr>
          <w:rFonts w:ascii="Arial" w:hAnsi="Arial" w:cs="Arial"/>
        </w:rPr>
        <w:t>č</w:t>
      </w:r>
      <w:r w:rsidR="00F95C80">
        <w:rPr>
          <w:rFonts w:ascii="Arial" w:hAnsi="Arial" w:cs="Arial"/>
        </w:rPr>
        <w:t>t</w:t>
      </w:r>
      <w:r w:rsidR="000F0961">
        <w:rPr>
          <w:rFonts w:ascii="Arial" w:hAnsi="Arial" w:cs="Arial"/>
        </w:rPr>
        <w:t>y</w:t>
      </w:r>
      <w:r w:rsidR="00F95C80">
        <w:rPr>
          <w:rFonts w:ascii="Arial" w:hAnsi="Arial" w:cs="Arial"/>
        </w:rPr>
        <w:t>ři</w:t>
      </w:r>
      <w:r w:rsidR="00E708C6">
        <w:rPr>
          <w:rFonts w:ascii="Arial" w:hAnsi="Arial" w:cs="Arial"/>
        </w:rPr>
        <w:t xml:space="preserve"> důsledky:</w:t>
      </w:r>
    </w:p>
    <w:p w14:paraId="79886E00" w14:textId="074D0E1C" w:rsidR="00E708C6" w:rsidRDefault="00835CCE" w:rsidP="00E708C6">
      <w:pPr>
        <w:numPr>
          <w:ilvl w:val="1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Nazlobenost</w:t>
      </w:r>
      <w:proofErr w:type="spellEnd"/>
      <w:r>
        <w:rPr>
          <w:rFonts w:ascii="Arial" w:hAnsi="Arial" w:cs="Arial"/>
        </w:rPr>
        <w:t xml:space="preserve"> lidí/zaměstnanců</w:t>
      </w:r>
      <w:r w:rsidR="00F95C80">
        <w:rPr>
          <w:rFonts w:ascii="Arial" w:hAnsi="Arial" w:cs="Arial"/>
        </w:rPr>
        <w:t xml:space="preserve"> svou </w:t>
      </w:r>
      <w:r w:rsidR="000F0961">
        <w:rPr>
          <w:rFonts w:ascii="Arial" w:hAnsi="Arial" w:cs="Arial"/>
        </w:rPr>
        <w:t>silou</w:t>
      </w:r>
      <w:r>
        <w:rPr>
          <w:rFonts w:ascii="Arial" w:hAnsi="Arial" w:cs="Arial"/>
        </w:rPr>
        <w:t xml:space="preserve"> překvapuje i odborové bossy – viz </w:t>
      </w:r>
      <w:r w:rsidR="00D8591E">
        <w:rPr>
          <w:rFonts w:ascii="Arial" w:hAnsi="Arial" w:cs="Arial"/>
        </w:rPr>
        <w:t>milion lidí v pondělní stávce (zatím ne generální)</w:t>
      </w:r>
    </w:p>
    <w:p w14:paraId="2D0B8F38" w14:textId="17AFDEA5" w:rsidR="00723F26" w:rsidRDefault="00214AA1" w:rsidP="00E708C6">
      <w:pPr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Vedení firem </w:t>
      </w:r>
      <w:r w:rsidR="00221563">
        <w:rPr>
          <w:rFonts w:ascii="Arial" w:hAnsi="Arial" w:cs="Arial"/>
        </w:rPr>
        <w:t>je ve dvojím ohni</w:t>
      </w:r>
      <w:r w:rsidR="00E9146D">
        <w:rPr>
          <w:rFonts w:ascii="Arial" w:hAnsi="Arial" w:cs="Arial"/>
        </w:rPr>
        <w:t>:</w:t>
      </w:r>
      <w:r w:rsidR="00221563">
        <w:rPr>
          <w:rFonts w:ascii="Arial" w:hAnsi="Arial" w:cs="Arial"/>
        </w:rPr>
        <w:t xml:space="preserve"> </w:t>
      </w:r>
    </w:p>
    <w:p w14:paraId="2F74F775" w14:textId="3546055E" w:rsidR="00723F26" w:rsidRDefault="00221563" w:rsidP="00723F26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zdražení energií jim nedává velký prostor pro udržení konkurenceschopnosti</w:t>
      </w:r>
      <w:r w:rsidR="00DC3768">
        <w:rPr>
          <w:rFonts w:ascii="Arial" w:hAnsi="Arial" w:cs="Arial"/>
        </w:rPr>
        <w:t xml:space="preserve"> (zvláště u energeticky náročných provozů) a hrozí zastavení výroby = propouštění</w:t>
      </w:r>
    </w:p>
    <w:p w14:paraId="038D3B22" w14:textId="52B23481" w:rsidR="00D8717D" w:rsidRPr="00031845" w:rsidRDefault="00723F26" w:rsidP="00723F26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to dobře vědí zaměstnanci</w:t>
      </w:r>
      <w:r w:rsidR="00E042BA">
        <w:rPr>
          <w:rFonts w:ascii="Arial" w:hAnsi="Arial" w:cs="Arial"/>
        </w:rPr>
        <w:t xml:space="preserve">/odbory a státotvorně </w:t>
      </w:r>
      <w:proofErr w:type="gramStart"/>
      <w:r>
        <w:rPr>
          <w:rFonts w:ascii="Arial" w:hAnsi="Arial" w:cs="Arial"/>
        </w:rPr>
        <w:t>netlačí</w:t>
      </w:r>
      <w:proofErr w:type="gramEnd"/>
      <w:r>
        <w:rPr>
          <w:rFonts w:ascii="Arial" w:hAnsi="Arial" w:cs="Arial"/>
        </w:rPr>
        <w:t xml:space="preserve"> na zvyšování mezd v potřebném rozsahu </w:t>
      </w:r>
      <w:r w:rsidR="00031845">
        <w:rPr>
          <w:rFonts w:ascii="Arial" w:hAnsi="Arial" w:cs="Arial"/>
          <w:b/>
          <w:bCs/>
          <w:i/>
          <w:iCs/>
          <w:u w:val="single"/>
        </w:rPr>
        <w:t>tabulka Kovanda</w:t>
      </w:r>
      <w:r w:rsidR="00031845" w:rsidRPr="00654A5C">
        <w:rPr>
          <w:rFonts w:ascii="inherit" w:eastAsia="Times New Roman" w:hAnsi="inherit" w:cs="Arial"/>
          <w:noProof/>
          <w:color w:val="000000"/>
          <w:sz w:val="23"/>
          <w:szCs w:val="23"/>
          <w:lang w:eastAsia="cs-CZ"/>
        </w:rPr>
        <w:drawing>
          <wp:inline distT="0" distB="0" distL="0" distR="0" wp14:anchorId="19951A93" wp14:editId="3E745506">
            <wp:extent cx="5353050" cy="4457700"/>
            <wp:effectExtent l="0" t="0" r="0" b="0"/>
            <wp:docPr id="802227690" name="Obrázek 1" descr="Obsah obrázku text, snímek obrazovky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27690" name="Obrázek 1" descr="Obsah obrázku text, snímek obrazovky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675" cy="446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292F6" w14:textId="77777777" w:rsidR="00031845" w:rsidRDefault="00031845" w:rsidP="00031845">
      <w:pPr>
        <w:ind w:left="360"/>
        <w:rPr>
          <w:rFonts w:ascii="Arial" w:hAnsi="Arial" w:cs="Arial"/>
        </w:rPr>
      </w:pPr>
    </w:p>
    <w:p w14:paraId="3D302403" w14:textId="56609FF3" w:rsidR="00A2671B" w:rsidRDefault="00A2671B" w:rsidP="009A6800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pod hladinu příjmové chudoby </w:t>
      </w:r>
      <w:r w:rsidR="00141417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k tradičním </w:t>
      </w:r>
      <w:r w:rsidR="004835C5">
        <w:rPr>
          <w:rFonts w:ascii="Arial" w:hAnsi="Arial" w:cs="Arial"/>
        </w:rPr>
        <w:t>9-10 % domácností rychle přidávají ty, které dosud byly těsně nad 60 % mediánového příjmu</w:t>
      </w:r>
      <w:r w:rsidR="00B700E9">
        <w:rPr>
          <w:rFonts w:ascii="Arial" w:hAnsi="Arial" w:cs="Arial"/>
        </w:rPr>
        <w:t xml:space="preserve">, tedy </w:t>
      </w:r>
      <w:r w:rsidR="00F82BB5">
        <w:rPr>
          <w:rFonts w:ascii="Arial" w:hAnsi="Arial" w:cs="Arial"/>
        </w:rPr>
        <w:t>část nižší střední třídy</w:t>
      </w:r>
      <w:r w:rsidR="00141417">
        <w:rPr>
          <w:rFonts w:ascii="Arial" w:hAnsi="Arial" w:cs="Arial"/>
        </w:rPr>
        <w:t>. Dobře to vidíme na boomu lichvářských půjček</w:t>
      </w:r>
      <w:r w:rsidR="000C1CA4">
        <w:rPr>
          <w:rFonts w:ascii="Arial" w:hAnsi="Arial" w:cs="Arial"/>
        </w:rPr>
        <w:t xml:space="preserve"> či exekucích</w:t>
      </w:r>
      <w:r w:rsidR="004835C5">
        <w:rPr>
          <w:rFonts w:ascii="Arial" w:hAnsi="Arial" w:cs="Arial"/>
        </w:rPr>
        <w:t xml:space="preserve"> </w:t>
      </w:r>
    </w:p>
    <w:p w14:paraId="50EF5D0A" w14:textId="73816CC9" w:rsidR="00D8591E" w:rsidRPr="002B4449" w:rsidRDefault="002504BE" w:rsidP="009A6800">
      <w:pPr>
        <w:numPr>
          <w:ilvl w:val="0"/>
          <w:numId w:val="5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pokud neporostou mzdy a důchody, není </w:t>
      </w:r>
      <w:r w:rsidR="00022747">
        <w:rPr>
          <w:rFonts w:ascii="Arial" w:hAnsi="Arial" w:cs="Arial"/>
        </w:rPr>
        <w:t xml:space="preserve">ani </w:t>
      </w:r>
      <w:r>
        <w:rPr>
          <w:rFonts w:ascii="Arial" w:hAnsi="Arial" w:cs="Arial"/>
        </w:rPr>
        <w:t>důvod předpokládat oživení spotřeby domácností</w:t>
      </w:r>
      <w:r w:rsidR="00022747">
        <w:rPr>
          <w:rFonts w:ascii="Arial" w:hAnsi="Arial" w:cs="Arial"/>
        </w:rPr>
        <w:t xml:space="preserve"> (2/3 HDP)</w:t>
      </w:r>
      <w:r w:rsidR="00F82BB5">
        <w:rPr>
          <w:rFonts w:ascii="Arial" w:hAnsi="Arial" w:cs="Arial"/>
        </w:rPr>
        <w:t xml:space="preserve">. </w:t>
      </w:r>
      <w:r w:rsidR="00C641F8">
        <w:rPr>
          <w:rFonts w:ascii="Arial" w:hAnsi="Arial" w:cs="Arial"/>
        </w:rPr>
        <w:t>Při škrtech ve výdajích vlády i v investicích tu již není žádný růstový imp</w:t>
      </w:r>
      <w:r w:rsidR="001E07E8">
        <w:rPr>
          <w:rFonts w:ascii="Arial" w:hAnsi="Arial" w:cs="Arial"/>
        </w:rPr>
        <w:t xml:space="preserve">ulz ani pro HDP, ani pro přírůstky daní a </w:t>
      </w:r>
      <w:proofErr w:type="gramStart"/>
      <w:r w:rsidR="001E07E8">
        <w:rPr>
          <w:rFonts w:ascii="Arial" w:hAnsi="Arial" w:cs="Arial"/>
        </w:rPr>
        <w:t>odvodů</w:t>
      </w:r>
      <w:r w:rsidR="00221563">
        <w:rPr>
          <w:rFonts w:ascii="Arial" w:hAnsi="Arial" w:cs="Arial"/>
        </w:rPr>
        <w:t xml:space="preserve"> </w:t>
      </w:r>
      <w:r w:rsidR="00E20354">
        <w:rPr>
          <w:rFonts w:ascii="Arial" w:hAnsi="Arial" w:cs="Arial"/>
        </w:rPr>
        <w:t xml:space="preserve">- </w:t>
      </w:r>
      <w:r w:rsidR="00E20354" w:rsidRPr="00E20354">
        <w:rPr>
          <w:rFonts w:ascii="Arial" w:hAnsi="Arial" w:cs="Arial"/>
          <w:b/>
          <w:bCs/>
          <w:i/>
          <w:iCs/>
          <w:u w:val="single"/>
        </w:rPr>
        <w:t>Graf</w:t>
      </w:r>
      <w:proofErr w:type="gramEnd"/>
      <w:r w:rsidR="00E20354" w:rsidRPr="00842D38">
        <w:rPr>
          <w:rFonts w:ascii="Arial" w:hAnsi="Arial" w:cs="Arial"/>
          <w:b/>
          <w:bCs/>
          <w:i/>
          <w:iCs/>
          <w:u w:val="single"/>
        </w:rPr>
        <w:t xml:space="preserve"> 3</w:t>
      </w:r>
    </w:p>
    <w:p w14:paraId="13BEF642" w14:textId="3B7DD1CD" w:rsidR="002B4449" w:rsidRDefault="002B4449" w:rsidP="002B4449">
      <w:pPr>
        <w:ind w:left="708"/>
        <w:rPr>
          <w:rFonts w:ascii="Arial" w:hAnsi="Arial" w:cs="Arial"/>
          <w:b/>
          <w:bCs/>
          <w:i/>
          <w:iCs/>
        </w:rPr>
      </w:pPr>
      <w:r>
        <w:rPr>
          <w:noProof/>
        </w:rPr>
        <w:drawing>
          <wp:inline distT="0" distB="0" distL="0" distR="0" wp14:anchorId="64E66D41" wp14:editId="2AF7C140">
            <wp:extent cx="5117911" cy="2752725"/>
            <wp:effectExtent l="0" t="0" r="6985" b="9525"/>
            <wp:docPr id="128590985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8F08C6FD-A511-45D2-B0D3-6D860E1373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B48E24D" w14:textId="77777777" w:rsidR="002B4449" w:rsidRDefault="002B4449" w:rsidP="002B4449">
      <w:pPr>
        <w:ind w:left="708"/>
        <w:rPr>
          <w:rFonts w:ascii="Arial" w:hAnsi="Arial" w:cs="Arial"/>
          <w:b/>
          <w:bCs/>
          <w:i/>
          <w:iCs/>
        </w:rPr>
      </w:pPr>
    </w:p>
    <w:p w14:paraId="3FC9ACE4" w14:textId="77777777" w:rsidR="002B4449" w:rsidRPr="00842D38" w:rsidRDefault="002B4449" w:rsidP="002B4449">
      <w:pPr>
        <w:ind w:left="708"/>
        <w:rPr>
          <w:rFonts w:ascii="Arial" w:hAnsi="Arial" w:cs="Arial"/>
          <w:b/>
          <w:bCs/>
          <w:i/>
          <w:iCs/>
        </w:rPr>
      </w:pPr>
    </w:p>
    <w:p w14:paraId="3F553962" w14:textId="68CCD52D" w:rsidR="00E20354" w:rsidRDefault="00F62B02" w:rsidP="00F62B02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  <w:r w:rsidRPr="00842D38">
        <w:rPr>
          <w:rFonts w:ascii="Arial" w:hAnsi="Arial" w:cs="Arial"/>
          <w:b/>
          <w:bCs/>
          <w:i/>
          <w:iCs/>
        </w:rPr>
        <w:t>Jak ekonomické kalamitě předejít?</w:t>
      </w:r>
    </w:p>
    <w:p w14:paraId="13837597" w14:textId="23465EC3" w:rsidR="004A54BE" w:rsidRDefault="00484DC7" w:rsidP="004A54B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Za stávající politické konstelace </w:t>
      </w:r>
      <w:r w:rsidR="00E9146D">
        <w:rPr>
          <w:rFonts w:ascii="Arial" w:hAnsi="Arial" w:cs="Arial"/>
        </w:rPr>
        <w:t>je to neřešiteln</w:t>
      </w:r>
      <w:r w:rsidR="00F24A2F">
        <w:rPr>
          <w:rFonts w:ascii="Arial" w:hAnsi="Arial" w:cs="Arial"/>
        </w:rPr>
        <w:t>é zadání. Vláda</w:t>
      </w:r>
      <w:r w:rsidR="00881C69">
        <w:rPr>
          <w:rFonts w:ascii="Arial" w:hAnsi="Arial" w:cs="Arial"/>
        </w:rPr>
        <w:t xml:space="preserve"> resp. její parlamentní většina ignorují </w:t>
      </w:r>
      <w:r w:rsidR="00474196">
        <w:rPr>
          <w:rFonts w:ascii="Arial" w:hAnsi="Arial" w:cs="Arial"/>
        </w:rPr>
        <w:t xml:space="preserve">i </w:t>
      </w:r>
      <w:r w:rsidR="00881C69">
        <w:rPr>
          <w:rFonts w:ascii="Arial" w:hAnsi="Arial" w:cs="Arial"/>
        </w:rPr>
        <w:t xml:space="preserve">názory </w:t>
      </w:r>
      <w:r w:rsidR="00474196">
        <w:rPr>
          <w:rFonts w:ascii="Arial" w:hAnsi="Arial" w:cs="Arial"/>
        </w:rPr>
        <w:t xml:space="preserve">parlamentní </w:t>
      </w:r>
      <w:r w:rsidR="00881C69">
        <w:rPr>
          <w:rFonts w:ascii="Arial" w:hAnsi="Arial" w:cs="Arial"/>
        </w:rPr>
        <w:t xml:space="preserve">opozice </w:t>
      </w:r>
      <w:r w:rsidR="00474196">
        <w:rPr>
          <w:rFonts w:ascii="Arial" w:hAnsi="Arial" w:cs="Arial"/>
        </w:rPr>
        <w:t>a tím spíše opozice neparlamentní</w:t>
      </w:r>
      <w:r w:rsidR="00966A46">
        <w:rPr>
          <w:rFonts w:ascii="Arial" w:hAnsi="Arial" w:cs="Arial"/>
        </w:rPr>
        <w:t>, o „ulici“ ani nemluvě</w:t>
      </w:r>
      <w:r w:rsidR="00474196">
        <w:rPr>
          <w:rFonts w:ascii="Arial" w:hAnsi="Arial" w:cs="Arial"/>
        </w:rPr>
        <w:t>. Až teď se ukazují fatální důsledky prohraných voleb</w:t>
      </w:r>
      <w:r w:rsidR="00440D54">
        <w:rPr>
          <w:rFonts w:ascii="Arial" w:hAnsi="Arial" w:cs="Arial"/>
        </w:rPr>
        <w:t xml:space="preserve"> levicí.</w:t>
      </w:r>
      <w:r w:rsidR="00E9146D">
        <w:rPr>
          <w:rFonts w:ascii="Arial" w:hAnsi="Arial" w:cs="Arial"/>
        </w:rPr>
        <w:t xml:space="preserve"> </w:t>
      </w:r>
      <w:r w:rsidR="008E71D5">
        <w:rPr>
          <w:rFonts w:ascii="Arial" w:hAnsi="Arial" w:cs="Arial"/>
        </w:rPr>
        <w:t xml:space="preserve">Narůstá riziko sociálních konfliktů </w:t>
      </w:r>
      <w:r w:rsidR="00FC3B44">
        <w:rPr>
          <w:rFonts w:ascii="Arial" w:hAnsi="Arial" w:cs="Arial"/>
        </w:rPr>
        <w:t>– při roztříštění levici (objektivně i subjektivně).</w:t>
      </w:r>
    </w:p>
    <w:p w14:paraId="4021B495" w14:textId="77777777" w:rsidR="002B4449" w:rsidRPr="001F51D0" w:rsidRDefault="002B4449" w:rsidP="004A54BE">
      <w:pPr>
        <w:ind w:left="360"/>
        <w:rPr>
          <w:rFonts w:ascii="Arial" w:hAnsi="Arial" w:cs="Arial"/>
          <w:i/>
          <w:iCs/>
        </w:rPr>
      </w:pPr>
    </w:p>
    <w:p w14:paraId="558D2332" w14:textId="33071343" w:rsidR="007971DD" w:rsidRPr="001F51D0" w:rsidRDefault="001F1E9E" w:rsidP="001F1E9E">
      <w:pPr>
        <w:numPr>
          <w:ilvl w:val="0"/>
          <w:numId w:val="1"/>
        </w:numPr>
        <w:rPr>
          <w:rFonts w:ascii="Arial" w:hAnsi="Arial" w:cs="Arial"/>
          <w:i/>
          <w:iCs/>
        </w:rPr>
      </w:pPr>
      <w:r w:rsidRPr="001F51D0">
        <w:rPr>
          <w:rFonts w:ascii="Arial" w:hAnsi="Arial" w:cs="Arial"/>
          <w:b/>
          <w:bCs/>
          <w:i/>
          <w:iCs/>
        </w:rPr>
        <w:t xml:space="preserve">Řešením jsou předčasné parlamentní </w:t>
      </w:r>
      <w:r w:rsidRPr="00AF395E">
        <w:rPr>
          <w:rFonts w:ascii="Arial" w:hAnsi="Arial" w:cs="Arial"/>
          <w:b/>
          <w:bCs/>
          <w:i/>
          <w:iCs/>
        </w:rPr>
        <w:t>volby</w:t>
      </w:r>
      <w:r w:rsidR="001E1831" w:rsidRPr="00AF395E">
        <w:rPr>
          <w:rFonts w:ascii="Arial" w:hAnsi="Arial" w:cs="Arial"/>
          <w:b/>
          <w:bCs/>
          <w:i/>
          <w:iCs/>
        </w:rPr>
        <w:t xml:space="preserve"> a</w:t>
      </w:r>
      <w:r w:rsidR="00B03CE2" w:rsidRPr="00AF395E">
        <w:rPr>
          <w:rFonts w:ascii="Arial" w:hAnsi="Arial" w:cs="Arial"/>
          <w:b/>
          <w:bCs/>
          <w:i/>
          <w:iCs/>
        </w:rPr>
        <w:t xml:space="preserve"> </w:t>
      </w:r>
      <w:r w:rsidR="001E1831" w:rsidRPr="00AF395E">
        <w:rPr>
          <w:rFonts w:ascii="Arial" w:hAnsi="Arial" w:cs="Arial"/>
          <w:b/>
          <w:bCs/>
          <w:i/>
          <w:iCs/>
        </w:rPr>
        <w:t>jak</w:t>
      </w:r>
      <w:r w:rsidR="001E1831" w:rsidRPr="001F51D0">
        <w:rPr>
          <w:rFonts w:ascii="Arial" w:hAnsi="Arial" w:cs="Arial"/>
          <w:b/>
          <w:bCs/>
          <w:i/>
          <w:iCs/>
        </w:rPr>
        <w:t xml:space="preserve"> by se k řešení </w:t>
      </w:r>
      <w:r w:rsidR="001F51D0" w:rsidRPr="001F51D0">
        <w:rPr>
          <w:rFonts w:ascii="Arial" w:hAnsi="Arial" w:cs="Arial"/>
          <w:b/>
          <w:bCs/>
          <w:i/>
          <w:iCs/>
        </w:rPr>
        <w:t xml:space="preserve">kalamitní situace </w:t>
      </w:r>
      <w:r w:rsidR="001E1831" w:rsidRPr="001F51D0">
        <w:rPr>
          <w:rFonts w:ascii="Arial" w:hAnsi="Arial" w:cs="Arial"/>
          <w:b/>
          <w:bCs/>
          <w:i/>
          <w:iCs/>
        </w:rPr>
        <w:t>měla postavit levice</w:t>
      </w:r>
    </w:p>
    <w:p w14:paraId="260E471B" w14:textId="63E9801B" w:rsidR="007B7C20" w:rsidRDefault="007B7C20" w:rsidP="007971D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Problematika má dvě různé časové/systémové roviny</w:t>
      </w:r>
      <w:r w:rsidR="006C6BED">
        <w:rPr>
          <w:rFonts w:ascii="Arial" w:hAnsi="Arial" w:cs="Arial"/>
        </w:rPr>
        <w:t>. O té první – strategické a dlouhodobé/globální bude deta</w:t>
      </w:r>
      <w:r w:rsidR="002A64BB">
        <w:rPr>
          <w:rFonts w:ascii="Arial" w:hAnsi="Arial" w:cs="Arial"/>
        </w:rPr>
        <w:t>il</w:t>
      </w:r>
      <w:r w:rsidR="006C6BED">
        <w:rPr>
          <w:rFonts w:ascii="Arial" w:hAnsi="Arial" w:cs="Arial"/>
        </w:rPr>
        <w:t>ně mluvit Radim Valenčí</w:t>
      </w:r>
      <w:r w:rsidR="002A64BB">
        <w:rPr>
          <w:rFonts w:ascii="Arial" w:hAnsi="Arial" w:cs="Arial"/>
        </w:rPr>
        <w:t xml:space="preserve">k, o </w:t>
      </w:r>
      <w:r w:rsidR="0060263C">
        <w:rPr>
          <w:rFonts w:ascii="Arial" w:hAnsi="Arial" w:cs="Arial"/>
        </w:rPr>
        <w:t>té druhé – vpravdě operativní a krátkodobé asi my ostatní</w:t>
      </w:r>
      <w:r w:rsidR="00DB50DB">
        <w:rPr>
          <w:rFonts w:ascii="Arial" w:hAnsi="Arial" w:cs="Arial"/>
        </w:rPr>
        <w:t xml:space="preserve"> – Ilona, Yvona i Honza.</w:t>
      </w:r>
    </w:p>
    <w:p w14:paraId="7F80C18E" w14:textId="2ECA71EE" w:rsidR="00440D54" w:rsidRPr="004A54BE" w:rsidRDefault="00B43015" w:rsidP="007971D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Za sebe soudím, že předčasné i řádné v</w:t>
      </w:r>
      <w:r w:rsidR="00AF395E">
        <w:rPr>
          <w:rFonts w:ascii="Arial" w:hAnsi="Arial" w:cs="Arial"/>
        </w:rPr>
        <w:t>olby</w:t>
      </w:r>
      <w:r w:rsidR="00FC3B44">
        <w:rPr>
          <w:rFonts w:ascii="Arial" w:hAnsi="Arial" w:cs="Arial"/>
        </w:rPr>
        <w:t xml:space="preserve"> mohou </w:t>
      </w:r>
      <w:r w:rsidR="00C77E07">
        <w:rPr>
          <w:rFonts w:ascii="Arial" w:hAnsi="Arial" w:cs="Arial"/>
        </w:rPr>
        <w:t xml:space="preserve">být racionálním řešením jen tehdy, když </w:t>
      </w:r>
      <w:r w:rsidR="00B03CE2">
        <w:rPr>
          <w:rFonts w:ascii="Arial" w:hAnsi="Arial" w:cs="Arial"/>
        </w:rPr>
        <w:t>levice bude mít</w:t>
      </w:r>
      <w:r w:rsidR="00FC3B44">
        <w:rPr>
          <w:rFonts w:ascii="Arial" w:hAnsi="Arial" w:cs="Arial"/>
        </w:rPr>
        <w:t xml:space="preserve"> včas</w:t>
      </w:r>
      <w:r w:rsidR="00B03CE2">
        <w:rPr>
          <w:rFonts w:ascii="Arial" w:hAnsi="Arial" w:cs="Arial"/>
        </w:rPr>
        <w:t xml:space="preserve"> program </w:t>
      </w:r>
      <w:r w:rsidR="00C77E07">
        <w:rPr>
          <w:rFonts w:ascii="Arial" w:hAnsi="Arial" w:cs="Arial"/>
        </w:rPr>
        <w:t xml:space="preserve">realistických </w:t>
      </w:r>
      <w:r w:rsidR="00B03CE2">
        <w:rPr>
          <w:rFonts w:ascii="Arial" w:hAnsi="Arial" w:cs="Arial"/>
        </w:rPr>
        <w:t>východis</w:t>
      </w:r>
      <w:r w:rsidR="009C5F09">
        <w:rPr>
          <w:rFonts w:ascii="Arial" w:hAnsi="Arial" w:cs="Arial"/>
        </w:rPr>
        <w:t>e</w:t>
      </w:r>
      <w:r w:rsidR="00B03CE2">
        <w:rPr>
          <w:rFonts w:ascii="Arial" w:hAnsi="Arial" w:cs="Arial"/>
        </w:rPr>
        <w:t>k z kalamitní situace</w:t>
      </w:r>
      <w:r w:rsidR="0033387F">
        <w:rPr>
          <w:rFonts w:ascii="Arial" w:hAnsi="Arial" w:cs="Arial"/>
        </w:rPr>
        <w:t xml:space="preserve"> a </w:t>
      </w:r>
      <w:r w:rsidR="009C5F09">
        <w:rPr>
          <w:rFonts w:ascii="Arial" w:hAnsi="Arial" w:cs="Arial"/>
        </w:rPr>
        <w:t xml:space="preserve">když pro program </w:t>
      </w:r>
      <w:r w:rsidR="0033387F">
        <w:rPr>
          <w:rFonts w:ascii="Arial" w:hAnsi="Arial" w:cs="Arial"/>
        </w:rPr>
        <w:t>získá potřebnou podporu domácností</w:t>
      </w:r>
      <w:r w:rsidR="00B03CE2">
        <w:rPr>
          <w:rFonts w:ascii="Arial" w:hAnsi="Arial" w:cs="Arial"/>
        </w:rPr>
        <w:t xml:space="preserve">. </w:t>
      </w:r>
      <w:r w:rsidR="00032D1C">
        <w:rPr>
          <w:rFonts w:ascii="Arial" w:hAnsi="Arial" w:cs="Arial"/>
        </w:rPr>
        <w:t>N</w:t>
      </w:r>
      <w:r w:rsidR="009C5F09">
        <w:rPr>
          <w:rFonts w:ascii="Arial" w:hAnsi="Arial" w:cs="Arial"/>
        </w:rPr>
        <w:t>aštěstí n</w:t>
      </w:r>
      <w:r w:rsidR="00032D1C">
        <w:rPr>
          <w:rFonts w:ascii="Arial" w:hAnsi="Arial" w:cs="Arial"/>
        </w:rPr>
        <w:t xml:space="preserve">ejsme na zelené louce – </w:t>
      </w:r>
      <w:r w:rsidR="002B13AC">
        <w:rPr>
          <w:rFonts w:ascii="Arial" w:hAnsi="Arial" w:cs="Arial"/>
        </w:rPr>
        <w:t xml:space="preserve">u mimoparlamentní opozice máme třeba </w:t>
      </w:r>
      <w:r w:rsidR="00032D1C">
        <w:rPr>
          <w:rFonts w:ascii="Arial" w:hAnsi="Arial" w:cs="Arial"/>
        </w:rPr>
        <w:t xml:space="preserve">se Švihlíkovou i </w:t>
      </w:r>
      <w:proofErr w:type="spellStart"/>
      <w:r w:rsidR="00032D1C">
        <w:rPr>
          <w:rFonts w:ascii="Arial" w:hAnsi="Arial" w:cs="Arial"/>
        </w:rPr>
        <w:t>Legierskou</w:t>
      </w:r>
      <w:proofErr w:type="spellEnd"/>
      <w:r w:rsidR="002B13AC">
        <w:rPr>
          <w:rFonts w:ascii="Arial" w:hAnsi="Arial" w:cs="Arial"/>
        </w:rPr>
        <w:t xml:space="preserve"> </w:t>
      </w:r>
      <w:r w:rsidR="00032D1C">
        <w:rPr>
          <w:rFonts w:ascii="Arial" w:hAnsi="Arial" w:cs="Arial"/>
        </w:rPr>
        <w:t xml:space="preserve">představy o podobě žádoucího </w:t>
      </w:r>
      <w:r w:rsidR="00EF297D">
        <w:rPr>
          <w:rFonts w:ascii="Arial" w:hAnsi="Arial" w:cs="Arial"/>
        </w:rPr>
        <w:t>daňového mixu, o nápravě veřejných financí posílením příjmů a redukcí zbytečných výdajů</w:t>
      </w:r>
      <w:r w:rsidR="00FE41E8">
        <w:rPr>
          <w:rFonts w:ascii="Arial" w:hAnsi="Arial" w:cs="Arial"/>
        </w:rPr>
        <w:t>, s Valenčíkem a spol. o penzijní reformě ústící do udržiteln</w:t>
      </w:r>
      <w:r w:rsidR="0033387F">
        <w:rPr>
          <w:rFonts w:ascii="Arial" w:hAnsi="Arial" w:cs="Arial"/>
        </w:rPr>
        <w:t>é rovnováhy důchodového účtu atd.</w:t>
      </w:r>
      <w:r w:rsidR="00AC7D50">
        <w:rPr>
          <w:rFonts w:ascii="Arial" w:hAnsi="Arial" w:cs="Arial"/>
        </w:rPr>
        <w:t xml:space="preserve"> </w:t>
      </w:r>
      <w:r w:rsidR="005B138B">
        <w:rPr>
          <w:rFonts w:ascii="Arial" w:hAnsi="Arial" w:cs="Arial"/>
        </w:rPr>
        <w:t>P</w:t>
      </w:r>
      <w:r w:rsidR="00AC7D50">
        <w:rPr>
          <w:rFonts w:ascii="Arial" w:hAnsi="Arial" w:cs="Arial"/>
        </w:rPr>
        <w:t xml:space="preserve">ři našich </w:t>
      </w:r>
      <w:r w:rsidR="005B138B">
        <w:rPr>
          <w:rFonts w:ascii="Arial" w:hAnsi="Arial" w:cs="Arial"/>
        </w:rPr>
        <w:t xml:space="preserve">objektivně </w:t>
      </w:r>
      <w:r w:rsidR="00AC7D50">
        <w:rPr>
          <w:rFonts w:ascii="Arial" w:hAnsi="Arial" w:cs="Arial"/>
        </w:rPr>
        <w:t xml:space="preserve">omezených možnostech tyto fragmenty </w:t>
      </w:r>
      <w:r w:rsidR="005B138B">
        <w:rPr>
          <w:rFonts w:ascii="Arial" w:hAnsi="Arial" w:cs="Arial"/>
        </w:rPr>
        <w:t xml:space="preserve">veřejně publikovat je rizikem se spoléhat na </w:t>
      </w:r>
      <w:r w:rsidR="00687814">
        <w:rPr>
          <w:rFonts w:ascii="Arial" w:hAnsi="Arial" w:cs="Arial"/>
        </w:rPr>
        <w:t>programy parlamentní opozice.</w:t>
      </w:r>
    </w:p>
    <w:sectPr w:rsidR="00440D54" w:rsidRPr="004A54B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CBB92" w14:textId="77777777" w:rsidR="002B4449" w:rsidRDefault="002B4449" w:rsidP="002B4449">
      <w:pPr>
        <w:spacing w:after="0" w:line="240" w:lineRule="auto"/>
      </w:pPr>
      <w:r>
        <w:separator/>
      </w:r>
    </w:p>
  </w:endnote>
  <w:endnote w:type="continuationSeparator" w:id="0">
    <w:p w14:paraId="7219E1EF" w14:textId="77777777" w:rsidR="002B4449" w:rsidRDefault="002B4449" w:rsidP="002B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5598582"/>
      <w:docPartObj>
        <w:docPartGallery w:val="Page Numbers (Bottom of Page)"/>
        <w:docPartUnique/>
      </w:docPartObj>
    </w:sdtPr>
    <w:sdtContent>
      <w:p w14:paraId="1E3C63E5" w14:textId="482B978F" w:rsidR="002B4449" w:rsidRDefault="002B44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006834" w14:textId="77777777" w:rsidR="002B4449" w:rsidRDefault="002B44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08350" w14:textId="77777777" w:rsidR="002B4449" w:rsidRDefault="002B4449" w:rsidP="002B4449">
      <w:pPr>
        <w:spacing w:after="0" w:line="240" w:lineRule="auto"/>
      </w:pPr>
      <w:r>
        <w:separator/>
      </w:r>
    </w:p>
  </w:footnote>
  <w:footnote w:type="continuationSeparator" w:id="0">
    <w:p w14:paraId="313A7C9D" w14:textId="77777777" w:rsidR="002B4449" w:rsidRDefault="002B4449" w:rsidP="002B4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199E"/>
    <w:multiLevelType w:val="hybridMultilevel"/>
    <w:tmpl w:val="E0188B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C79F2"/>
    <w:multiLevelType w:val="hybridMultilevel"/>
    <w:tmpl w:val="FCB44BF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8C275E"/>
    <w:multiLevelType w:val="hybridMultilevel"/>
    <w:tmpl w:val="DD708A4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67474FB"/>
    <w:multiLevelType w:val="hybridMultilevel"/>
    <w:tmpl w:val="AABA4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D5C4A"/>
    <w:multiLevelType w:val="hybridMultilevel"/>
    <w:tmpl w:val="DBA4B2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37090">
    <w:abstractNumId w:val="3"/>
  </w:num>
  <w:num w:numId="2" w16cid:durableId="609161623">
    <w:abstractNumId w:val="0"/>
  </w:num>
  <w:num w:numId="3" w16cid:durableId="1259674524">
    <w:abstractNumId w:val="4"/>
  </w:num>
  <w:num w:numId="4" w16cid:durableId="246309350">
    <w:abstractNumId w:val="1"/>
  </w:num>
  <w:num w:numId="5" w16cid:durableId="36441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C1"/>
    <w:rsid w:val="00013F12"/>
    <w:rsid w:val="00022747"/>
    <w:rsid w:val="00031845"/>
    <w:rsid w:val="00032D1C"/>
    <w:rsid w:val="0006731A"/>
    <w:rsid w:val="00085422"/>
    <w:rsid w:val="000A60E1"/>
    <w:rsid w:val="000C1CA4"/>
    <w:rsid w:val="000C2689"/>
    <w:rsid w:val="000D7EF4"/>
    <w:rsid w:val="000F0961"/>
    <w:rsid w:val="00141417"/>
    <w:rsid w:val="001E07E8"/>
    <w:rsid w:val="001E1831"/>
    <w:rsid w:val="001F1E9E"/>
    <w:rsid w:val="001F51D0"/>
    <w:rsid w:val="00214AA1"/>
    <w:rsid w:val="00221563"/>
    <w:rsid w:val="00241ACA"/>
    <w:rsid w:val="002504BE"/>
    <w:rsid w:val="002A64BB"/>
    <w:rsid w:val="002B13AC"/>
    <w:rsid w:val="002B4449"/>
    <w:rsid w:val="0033387F"/>
    <w:rsid w:val="003D6F55"/>
    <w:rsid w:val="0041130C"/>
    <w:rsid w:val="00427995"/>
    <w:rsid w:val="00440D54"/>
    <w:rsid w:val="00474196"/>
    <w:rsid w:val="004835C5"/>
    <w:rsid w:val="00484DC7"/>
    <w:rsid w:val="004A54BE"/>
    <w:rsid w:val="005B138B"/>
    <w:rsid w:val="005C4D4A"/>
    <w:rsid w:val="0060263C"/>
    <w:rsid w:val="00606340"/>
    <w:rsid w:val="00687814"/>
    <w:rsid w:val="006C6BED"/>
    <w:rsid w:val="006E7E1A"/>
    <w:rsid w:val="006F696D"/>
    <w:rsid w:val="00723F26"/>
    <w:rsid w:val="007971DD"/>
    <w:rsid w:val="007A5FE1"/>
    <w:rsid w:val="007B7C20"/>
    <w:rsid w:val="007F39E4"/>
    <w:rsid w:val="00832E96"/>
    <w:rsid w:val="00835CCE"/>
    <w:rsid w:val="00837D21"/>
    <w:rsid w:val="00842D38"/>
    <w:rsid w:val="0085210F"/>
    <w:rsid w:val="0086313D"/>
    <w:rsid w:val="00881C69"/>
    <w:rsid w:val="00882E18"/>
    <w:rsid w:val="00884E1C"/>
    <w:rsid w:val="008D0F44"/>
    <w:rsid w:val="008E71D5"/>
    <w:rsid w:val="00966A46"/>
    <w:rsid w:val="009A6800"/>
    <w:rsid w:val="009C5F09"/>
    <w:rsid w:val="009F241A"/>
    <w:rsid w:val="00A243B0"/>
    <w:rsid w:val="00A2671B"/>
    <w:rsid w:val="00AA77A4"/>
    <w:rsid w:val="00AB34BF"/>
    <w:rsid w:val="00AC7D50"/>
    <w:rsid w:val="00AE528E"/>
    <w:rsid w:val="00AE5292"/>
    <w:rsid w:val="00AF395E"/>
    <w:rsid w:val="00B03CE2"/>
    <w:rsid w:val="00B1699F"/>
    <w:rsid w:val="00B43015"/>
    <w:rsid w:val="00B700E9"/>
    <w:rsid w:val="00C41103"/>
    <w:rsid w:val="00C641F8"/>
    <w:rsid w:val="00C77E07"/>
    <w:rsid w:val="00C82B00"/>
    <w:rsid w:val="00CA6132"/>
    <w:rsid w:val="00D45A58"/>
    <w:rsid w:val="00D47996"/>
    <w:rsid w:val="00D54EDB"/>
    <w:rsid w:val="00D75283"/>
    <w:rsid w:val="00D8591E"/>
    <w:rsid w:val="00D8717D"/>
    <w:rsid w:val="00DA0AB7"/>
    <w:rsid w:val="00DB4CC2"/>
    <w:rsid w:val="00DB50DB"/>
    <w:rsid w:val="00DC0698"/>
    <w:rsid w:val="00DC3768"/>
    <w:rsid w:val="00DE4C53"/>
    <w:rsid w:val="00E042BA"/>
    <w:rsid w:val="00E20354"/>
    <w:rsid w:val="00E35915"/>
    <w:rsid w:val="00E708C6"/>
    <w:rsid w:val="00E868F5"/>
    <w:rsid w:val="00E9146D"/>
    <w:rsid w:val="00EA4575"/>
    <w:rsid w:val="00EF297D"/>
    <w:rsid w:val="00F24A2F"/>
    <w:rsid w:val="00F32BC1"/>
    <w:rsid w:val="00F62B02"/>
    <w:rsid w:val="00F82BB5"/>
    <w:rsid w:val="00F95C80"/>
    <w:rsid w:val="00FC07C4"/>
    <w:rsid w:val="00FC3B44"/>
    <w:rsid w:val="00FE25D2"/>
    <w:rsid w:val="00FE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0904"/>
  <w15:chartTrackingRefBased/>
  <w15:docId w15:val="{425E8E39-CD92-4E92-8270-89D36695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4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449"/>
  </w:style>
  <w:style w:type="paragraph" w:styleId="Zpat">
    <w:name w:val="footer"/>
    <w:basedOn w:val="Normln"/>
    <w:link w:val="ZpatChar"/>
    <w:uiPriority w:val="99"/>
    <w:unhideWhenUsed/>
    <w:rsid w:val="002B4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b6f1739fe28274dc/Plocha/HARD%20DISK%20%2015%2010%202023/KONFERENCE%20A%20SEMIN&#193;&#344;E/SEMIN&#193;&#344;%20HRZBA%20KOLAPSU%207%2012%2023/Se&#353;it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b6f1739fe28274dc/Plocha/HARD%20DISK%20%2015%2010%202023/KONFERENCE%20A%20SEMIN&#193;&#344;E/SEMIN&#193;&#344;%20HRZBA%20KOLAPSU%207%2012%2023/Se&#353;it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b6f1739fe28274dc/Plocha/HARD%20DISK%20%2015%2010%202023/KONFERENCE%20A%20SEMIN&#193;&#344;E/SEMIN&#193;&#344;%20HRZBA%20KOLAPSU%207%2012%2023/Se&#353;it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HDP mld.</a:t>
            </a:r>
            <a:r>
              <a:rPr lang="cs-CZ"/>
              <a:t> Kč </a:t>
            </a:r>
          </a:p>
          <a:p>
            <a:pPr>
              <a:defRPr/>
            </a:pPr>
            <a:r>
              <a:rPr lang="cs-CZ"/>
              <a:t>(2017 až 2022 skut., dále predikce)</a:t>
            </a:r>
            <a:endParaRPr lang="en-US"/>
          </a:p>
        </c:rich>
      </c:tx>
      <c:layout>
        <c:manualLayout>
          <c:xMode val="edge"/>
          <c:yMode val="edge"/>
          <c:x val="0.22702077865266845"/>
          <c:y val="1.851851851851851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'[GRAFY K VF.xlsx]HDP'!$C$3</c:f>
              <c:strCache>
                <c:ptCount val="1"/>
                <c:pt idx="0">
                  <c:v>HDP mld.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[1]HDP!$B$4:$B$13</c:f>
              <c:numCache>
                <c:formatCode>General</c:formatCode>
                <c:ptCount val="10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</c:numCache>
            </c:numRef>
          </c:cat>
          <c:val>
            <c:numRef>
              <c:f>[1]HDP!$C$4:$C$13</c:f>
              <c:numCache>
                <c:formatCode>General</c:formatCode>
                <c:ptCount val="10"/>
                <c:pt idx="0">
                  <c:v>4988</c:v>
                </c:pt>
                <c:pt idx="1">
                  <c:v>5148</c:v>
                </c:pt>
                <c:pt idx="2">
                  <c:v>5304</c:v>
                </c:pt>
                <c:pt idx="3">
                  <c:v>5013</c:v>
                </c:pt>
                <c:pt idx="4">
                  <c:v>5191</c:v>
                </c:pt>
                <c:pt idx="5">
                  <c:v>5313</c:v>
                </c:pt>
                <c:pt idx="6">
                  <c:v>5286</c:v>
                </c:pt>
                <c:pt idx="7">
                  <c:v>5387</c:v>
                </c:pt>
                <c:pt idx="8">
                  <c:v>5518</c:v>
                </c:pt>
                <c:pt idx="9">
                  <c:v>5647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41A-4E59-88A9-4735A8D28E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51470015"/>
        <c:axId val="351878255"/>
      </c:lineChart>
      <c:catAx>
        <c:axId val="3514700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51878255"/>
        <c:crosses val="autoZero"/>
        <c:auto val="1"/>
        <c:lblAlgn val="ctr"/>
        <c:lblOffset val="100"/>
        <c:noMultiLvlLbl val="0"/>
      </c:catAx>
      <c:valAx>
        <c:axId val="351878255"/>
        <c:scaling>
          <c:orientation val="minMax"/>
          <c:min val="49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514700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[1]inflace!$B$2:$AI$2</c:f>
              <c:numCache>
                <c:formatCode>General</c:formatCode>
                <c:ptCount val="34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1998</c:v>
                </c:pt>
                <c:pt idx="6">
                  <c:v>1999</c:v>
                </c:pt>
                <c:pt idx="7">
                  <c:v>2000</c:v>
                </c:pt>
                <c:pt idx="8">
                  <c:v>2001</c:v>
                </c:pt>
                <c:pt idx="9">
                  <c:v>2002</c:v>
                </c:pt>
                <c:pt idx="10">
                  <c:v>2003</c:v>
                </c:pt>
                <c:pt idx="11">
                  <c:v>2004</c:v>
                </c:pt>
                <c:pt idx="12">
                  <c:v>2005</c:v>
                </c:pt>
                <c:pt idx="13">
                  <c:v>2006</c:v>
                </c:pt>
                <c:pt idx="14">
                  <c:v>2007</c:v>
                </c:pt>
                <c:pt idx="15">
                  <c:v>2008</c:v>
                </c:pt>
                <c:pt idx="16">
                  <c:v>2009</c:v>
                </c:pt>
                <c:pt idx="17">
                  <c:v>2010</c:v>
                </c:pt>
                <c:pt idx="18">
                  <c:v>2011</c:v>
                </c:pt>
                <c:pt idx="19">
                  <c:v>2012</c:v>
                </c:pt>
                <c:pt idx="20">
                  <c:v>2013</c:v>
                </c:pt>
                <c:pt idx="21">
                  <c:v>2014</c:v>
                </c:pt>
                <c:pt idx="22">
                  <c:v>2015</c:v>
                </c:pt>
                <c:pt idx="23">
                  <c:v>2016</c:v>
                </c:pt>
                <c:pt idx="24">
                  <c:v>2017</c:v>
                </c:pt>
                <c:pt idx="25">
                  <c:v>2018</c:v>
                </c:pt>
                <c:pt idx="26">
                  <c:v>2019</c:v>
                </c:pt>
                <c:pt idx="27">
                  <c:v>2020</c:v>
                </c:pt>
                <c:pt idx="28">
                  <c:v>2021</c:v>
                </c:pt>
                <c:pt idx="29">
                  <c:v>2022</c:v>
                </c:pt>
                <c:pt idx="30">
                  <c:v>2023</c:v>
                </c:pt>
                <c:pt idx="31">
                  <c:v>2024</c:v>
                </c:pt>
                <c:pt idx="32">
                  <c:v>2025</c:v>
                </c:pt>
                <c:pt idx="33">
                  <c:v>2026</c:v>
                </c:pt>
              </c:numCache>
            </c:numRef>
          </c:cat>
          <c:val>
            <c:numRef>
              <c:f>[1]inflace!$B$3:$AI$3</c:f>
              <c:numCache>
                <c:formatCode>0.0</c:formatCode>
                <c:ptCount val="34"/>
                <c:pt idx="0">
                  <c:v>20.8</c:v>
                </c:pt>
                <c:pt idx="1">
                  <c:v>10</c:v>
                </c:pt>
                <c:pt idx="2">
                  <c:v>9.1</c:v>
                </c:pt>
                <c:pt idx="3">
                  <c:v>8.8000000000000007</c:v>
                </c:pt>
                <c:pt idx="4">
                  <c:v>8.5</c:v>
                </c:pt>
                <c:pt idx="5">
                  <c:v>10.7</c:v>
                </c:pt>
                <c:pt idx="6">
                  <c:v>2.1</c:v>
                </c:pt>
                <c:pt idx="7">
                  <c:v>3.9</c:v>
                </c:pt>
                <c:pt idx="8">
                  <c:v>4.7</c:v>
                </c:pt>
                <c:pt idx="9">
                  <c:v>1.8</c:v>
                </c:pt>
                <c:pt idx="10" formatCode="General">
                  <c:v>0.1</c:v>
                </c:pt>
                <c:pt idx="11" formatCode="General">
                  <c:v>2.8</c:v>
                </c:pt>
                <c:pt idx="12" formatCode="General">
                  <c:v>1.9</c:v>
                </c:pt>
                <c:pt idx="13" formatCode="General">
                  <c:v>2.5</c:v>
                </c:pt>
                <c:pt idx="14" formatCode="General">
                  <c:v>2.8</c:v>
                </c:pt>
                <c:pt idx="15" formatCode="General">
                  <c:v>6.3</c:v>
                </c:pt>
                <c:pt idx="16">
                  <c:v>1</c:v>
                </c:pt>
                <c:pt idx="17" formatCode="General">
                  <c:v>1.5</c:v>
                </c:pt>
                <c:pt idx="18" formatCode="General">
                  <c:v>1.9</c:v>
                </c:pt>
                <c:pt idx="19" formatCode="General">
                  <c:v>3.3</c:v>
                </c:pt>
                <c:pt idx="20">
                  <c:v>1.4</c:v>
                </c:pt>
                <c:pt idx="21">
                  <c:v>0.4</c:v>
                </c:pt>
                <c:pt idx="22" formatCode="General">
                  <c:v>0.3</c:v>
                </c:pt>
                <c:pt idx="23" formatCode="#\ ##0.0">
                  <c:v>0.7</c:v>
                </c:pt>
                <c:pt idx="24" formatCode="#\ ##0.0">
                  <c:v>2.5</c:v>
                </c:pt>
                <c:pt idx="25" formatCode="#\ ##0.0">
                  <c:v>2.1</c:v>
                </c:pt>
                <c:pt idx="26" formatCode="#\ ##0.0">
                  <c:v>2.8</c:v>
                </c:pt>
                <c:pt idx="27" formatCode="#\ ##0.0">
                  <c:v>3.2</c:v>
                </c:pt>
                <c:pt idx="28" formatCode="General">
                  <c:v>3.8</c:v>
                </c:pt>
                <c:pt idx="29" formatCode="General">
                  <c:v>15.1</c:v>
                </c:pt>
                <c:pt idx="30" formatCode="#\ ##0.0">
                  <c:v>10.8</c:v>
                </c:pt>
                <c:pt idx="31" formatCode="#\ ##0.0">
                  <c:v>3.3</c:v>
                </c:pt>
                <c:pt idx="32" formatCode="#\ ##0.0">
                  <c:v>2.6</c:v>
                </c:pt>
                <c:pt idx="33" formatCode="#\ ##0.0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B40-433D-8336-6C7E23216B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01525599"/>
        <c:axId val="271458639"/>
      </c:lineChart>
      <c:catAx>
        <c:axId val="21015255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1458639"/>
        <c:crosses val="autoZero"/>
        <c:auto val="1"/>
        <c:lblAlgn val="ctr"/>
        <c:lblOffset val="100"/>
        <c:noMultiLvlLbl val="0"/>
      </c:catAx>
      <c:valAx>
        <c:axId val="271458639"/>
        <c:scaling>
          <c:orientation val="minMax"/>
          <c:max val="2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0152559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Spotřeba domácností (modře</a:t>
            </a:r>
            <a:r>
              <a:rPr lang="cs-CZ"/>
              <a:t>)</a:t>
            </a:r>
          </a:p>
          <a:p>
            <a:pPr>
              <a:defRPr/>
            </a:pPr>
            <a:r>
              <a:rPr lang="cs-CZ"/>
              <a:t>S</a:t>
            </a:r>
            <a:r>
              <a:rPr lang="en-US"/>
              <a:t>potřeba vlády plus vládní investice (červeně)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'[GRAFY K VF.xlsx]HDP'!$H$3</c:f>
              <c:strCache>
                <c:ptCount val="1"/>
                <c:pt idx="0">
                  <c:v>spotřeba domácností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[1]HDP!$G$4:$G$13</c:f>
              <c:numCache>
                <c:formatCode>General</c:formatCode>
                <c:ptCount val="10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</c:numCache>
            </c:numRef>
          </c:cat>
          <c:val>
            <c:numRef>
              <c:f>[1]HDP!$H$4:$H$13</c:f>
              <c:numCache>
                <c:formatCode>General</c:formatCode>
                <c:ptCount val="10"/>
                <c:pt idx="0">
                  <c:v>2355</c:v>
                </c:pt>
                <c:pt idx="1">
                  <c:v>2438</c:v>
                </c:pt>
                <c:pt idx="2">
                  <c:v>2504</c:v>
                </c:pt>
                <c:pt idx="3">
                  <c:v>2322</c:v>
                </c:pt>
                <c:pt idx="4">
                  <c:v>2418</c:v>
                </c:pt>
                <c:pt idx="5">
                  <c:v>2401</c:v>
                </c:pt>
                <c:pt idx="6">
                  <c:v>2335</c:v>
                </c:pt>
                <c:pt idx="7">
                  <c:v>2425</c:v>
                </c:pt>
                <c:pt idx="8">
                  <c:v>2514</c:v>
                </c:pt>
                <c:pt idx="9">
                  <c:v>2581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193-4EF9-AB78-FACD0C08C800}"/>
            </c:ext>
          </c:extLst>
        </c:ser>
        <c:ser>
          <c:idx val="1"/>
          <c:order val="1"/>
          <c:tx>
            <c:strRef>
              <c:f>'[GRAFY K VF.xlsx]HDP'!$I$3</c:f>
              <c:strCache>
                <c:ptCount val="1"/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[1]HDP!$G$4:$G$13</c:f>
              <c:numCache>
                <c:formatCode>General</c:formatCode>
                <c:ptCount val="10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</c:numCache>
            </c:numRef>
          </c:cat>
          <c:val>
            <c:numRef>
              <c:f>[1]HDP!$I$4:$I$13</c:f>
              <c:numCache>
                <c:formatCode>General</c:formatCode>
                <c:ptCount val="10"/>
                <c:pt idx="0">
                  <c:v>2236</c:v>
                </c:pt>
                <c:pt idx="1">
                  <c:v>2374</c:v>
                </c:pt>
                <c:pt idx="2">
                  <c:v>2462</c:v>
                </c:pt>
                <c:pt idx="3">
                  <c:v>2365</c:v>
                </c:pt>
                <c:pt idx="4">
                  <c:v>2636</c:v>
                </c:pt>
                <c:pt idx="5">
                  <c:v>2732</c:v>
                </c:pt>
                <c:pt idx="6">
                  <c:v>2691</c:v>
                </c:pt>
                <c:pt idx="7">
                  <c:v>2625</c:v>
                </c:pt>
                <c:pt idx="8">
                  <c:v>2620</c:v>
                </c:pt>
                <c:pt idx="9">
                  <c:v>2667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193-4EF9-AB78-FACD0C08C8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1040623"/>
        <c:axId val="354117247"/>
      </c:lineChart>
      <c:catAx>
        <c:axId val="4410406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54117247"/>
        <c:crosses val="autoZero"/>
        <c:auto val="1"/>
        <c:lblAlgn val="ctr"/>
        <c:lblOffset val="100"/>
        <c:noMultiLvlLbl val="0"/>
      </c:catAx>
      <c:valAx>
        <c:axId val="354117247"/>
        <c:scaling>
          <c:orientation val="minMax"/>
          <c:min val="2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4104062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Šulc</dc:creator>
  <cp:keywords/>
  <dc:description/>
  <cp:lastModifiedBy>Jaroslav Šulc</cp:lastModifiedBy>
  <cp:revision>11</cp:revision>
  <dcterms:created xsi:type="dcterms:W3CDTF">2023-12-03T13:44:00Z</dcterms:created>
  <dcterms:modified xsi:type="dcterms:W3CDTF">2023-12-03T13:53:00Z</dcterms:modified>
</cp:coreProperties>
</file>